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eb1b27a1c4be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11951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Mljet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751.554,90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876.243,59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733.357,38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900.557,67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24.314,08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28.007,76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17.995,47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28.007,76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52.321,84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odnose se na tekuće pomoći iz proračuna koji im nije nadležan i iznose 631.451,53 eura, prihoda od financijske imovine u iznosu od 0,13 eura, tekućih donacija u iznosu od 39.095,53 eura, te prihoda iz nadležnog proračuna za financiranje redovnih djelatnosti u iznosu od 205.696,40 eura. Ukupni rashodi poslovanja odnose se na rashode za zaposlene u iznosu od 656.358,26 eura, materijalnih rashoda u iznosu od 236.927,60 eura, financijskih rashoda u iznosu od 777,48 eura i naknade građanima u iznosu od 6.494,33 eura. Ukupni prihodi od prodaje nefinancijske imovine nema, a rashodi za nabavu nefinancijske imovine iznose 28.007,76 eura. Ukupni rezultat financijskog izvještaja od 1.1.2025. do 31.12.2025. godine iznosi 52.321,84 eura kao manjak prihoda.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ovog izvještajnog razdoblja iznosi 76.991,87 eura što se odnosi na račune i obračune plaća i naknada koje nismo platili te koji će biti plaćeni u narednom mjesecu.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9e1c80d5e54b24" /></Relationships>
</file>